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11" w:rsidRDefault="001623DB" w:rsidP="001623DB">
      <w:pPr>
        <w:pStyle w:val="ab"/>
        <w:tabs>
          <w:tab w:val="left" w:pos="4416"/>
        </w:tabs>
        <w:spacing w:line="360" w:lineRule="auto"/>
        <w:rPr>
          <w:b/>
        </w:rPr>
      </w:pPr>
      <w:r>
        <w:rPr>
          <w:b/>
        </w:rPr>
        <w:tab/>
      </w:r>
      <w:r w:rsidRPr="001623DB">
        <w:rPr>
          <w:rFonts w:ascii="Arial Unicode MS" w:eastAsia="Arial Unicode MS" w:hAnsi="Arial Unicode MS" w:cs="Arial Unicode MS"/>
          <w:noProof/>
          <w:color w:val="000000"/>
        </w:rPr>
        <w:drawing>
          <wp:inline distT="0" distB="0" distL="0" distR="0" wp14:anchorId="7C3E0C00" wp14:editId="735F693D">
            <wp:extent cx="5760720" cy="1270755"/>
            <wp:effectExtent l="0" t="0" r="0" b="5715"/>
            <wp:docPr id="6" name="Картина 6" descr="C:\Users\PH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AC2" w:rsidRDefault="001623DB" w:rsidP="001623DB">
      <w:pPr>
        <w:pStyle w:val="ab"/>
        <w:tabs>
          <w:tab w:val="left" w:pos="3096"/>
          <w:tab w:val="right" w:pos="9072"/>
        </w:tabs>
        <w:spacing w:line="360" w:lineRule="auto"/>
        <w:rPr>
          <w:b/>
        </w:rPr>
      </w:pPr>
      <w:r>
        <w:rPr>
          <w:b/>
        </w:rPr>
        <w:tab/>
      </w:r>
      <w:bookmarkStart w:id="0" w:name="_GoBack"/>
      <w:bookmarkEnd w:id="0"/>
      <w:r>
        <w:rPr>
          <w:b/>
        </w:rPr>
        <w:tab/>
      </w:r>
      <w:r w:rsidR="005D3017" w:rsidRPr="00762758">
        <w:rPr>
          <w:b/>
        </w:rPr>
        <w:t xml:space="preserve">Приложение № </w:t>
      </w:r>
      <w:r w:rsidR="00C356DF">
        <w:rPr>
          <w:b/>
        </w:rPr>
        <w:t>10</w:t>
      </w:r>
    </w:p>
    <w:p w:rsidR="000F3FCA" w:rsidRDefault="00C24AC2" w:rsidP="005D3017">
      <w:pPr>
        <w:pStyle w:val="ab"/>
        <w:spacing w:line="360" w:lineRule="auto"/>
        <w:jc w:val="right"/>
        <w:rPr>
          <w:b/>
        </w:rPr>
      </w:pPr>
      <w:r>
        <w:rPr>
          <w:b/>
        </w:rPr>
        <w:t>От Документи за попълване</w:t>
      </w:r>
      <w:r w:rsidR="005D3017">
        <w:rPr>
          <w:b/>
        </w:rPr>
        <w:t xml:space="preserve"> </w:t>
      </w:r>
    </w:p>
    <w:p w:rsidR="005D3017" w:rsidRPr="00243A89" w:rsidRDefault="005D3017" w:rsidP="005D3017">
      <w:pPr>
        <w:pStyle w:val="ab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5D3017" w:rsidRDefault="005D3017"/>
    <w:p w:rsidR="005D3017" w:rsidRDefault="005D3017"/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E18FC" w:rsidTr="005D3017">
        <w:tc>
          <w:tcPr>
            <w:tcW w:w="9288" w:type="dxa"/>
            <w:tcBorders>
              <w:top w:val="single" w:sz="4" w:space="0" w:color="DDDDDD"/>
              <w:left w:val="single" w:sz="4" w:space="0" w:color="DDDDDD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8FC" w:rsidRDefault="002E18FC" w:rsidP="00DD1A74">
            <w:pPr>
              <w:rPr>
                <w:color w:val="000000"/>
              </w:rPr>
            </w:pPr>
            <w:r>
              <w:rPr>
                <w:color w:val="000000"/>
              </w:rPr>
              <w:t>ФОРМУЛЯР ЗА МОНИТОРИНГ по подмярка 19.2 "Прилагане на операции в рамките на стратегии за ВОМР"</w:t>
            </w:r>
          </w:p>
          <w:p w:rsidR="002E18FC" w:rsidRDefault="002E18FC" w:rsidP="00DD1A74"/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1. За коя от изброените области проектът допринася в най-голяма степен?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Моля, отбележете само една област с поставен акцент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"/>
              <w:gridCol w:w="6714"/>
              <w:gridCol w:w="944"/>
            </w:tblGrid>
            <w:tr w:rsidR="002E18FC" w:rsidTr="00DD1A7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10" w:lineRule="atLeast"/>
                    <w:ind w:right="283"/>
                    <w:textAlignment w:val="center"/>
                  </w:pPr>
                  <w:r>
                    <w:rPr>
                      <w:color w:val="000000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 xml:space="preserve">Възстановяване, опазване и укрепване на биологичното </w:t>
                  </w:r>
                  <w:r>
                    <w:rPr>
                      <w:color w:val="000000"/>
                    </w:rPr>
                    <w:lastRenderedPageBreak/>
                    <w:t>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lastRenderedPageBreak/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lastRenderedPageBreak/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spacing w:line="225" w:lineRule="atLeast"/>
            </w:pPr>
            <w:r>
              <w:t> </w:t>
            </w:r>
            <w:r>
              <w:br/>
            </w:r>
            <w:r>
              <w:br/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2. Какъв е видът на кандидата?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2"/>
              <w:gridCol w:w="1057"/>
            </w:tblGrid>
            <w:tr w:rsidR="002E18FC" w:rsidTr="00DD1A74">
              <w:trPr>
                <w:trHeight w:val="226"/>
              </w:trPr>
              <w:tc>
                <w:tcPr>
                  <w:tcW w:w="104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Вид на кандидата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НПО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Публичен орган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Малко или средно предприятие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Микропредприятие </w:t>
                  </w:r>
                  <w:r>
                    <w:rPr>
                      <w:i/>
                      <w:iCs/>
                      <w:color w:val="000000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Физическо лице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Лице, регистрирано по ТЗ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Друго (</w:t>
                  </w:r>
                  <w:r>
                    <w:rPr>
                      <w:i/>
                      <w:iCs/>
                      <w:color w:val="000000"/>
                    </w:rPr>
                    <w:t>моля, отбележете, ако е приложимо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3. Планира ли се създаване на работни места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При отговор ДА, моля, попълнете таблицата, като имате предвид следното: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1. Отчитат се данните само за новосъздадени работни места;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lastRenderedPageBreak/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</w:t>
            </w:r>
            <w:proofErr w:type="gramStart"/>
            <w:r>
              <w:rPr>
                <w:i/>
                <w:iCs/>
                <w:color w:val="000000"/>
              </w:rPr>
              <w:t>,5</w:t>
            </w:r>
            <w:proofErr w:type="gramEnd"/>
            <w:r>
              <w:rPr>
                <w:i/>
                <w:iCs/>
                <w:color w:val="000000"/>
              </w:rPr>
              <w:t xml:space="preserve"> бр.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948"/>
              <w:gridCol w:w="1652"/>
            </w:tblGrid>
            <w:tr w:rsidR="002E18FC" w:rsidTr="00DD1A74">
              <w:trPr>
                <w:trHeight w:val="226"/>
              </w:trPr>
              <w:tc>
                <w:tcPr>
                  <w:tcW w:w="730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 работни места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2E18FC" w:rsidRDefault="002E18FC" w:rsidP="00DD1A74"/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мъже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жени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30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(Когато е приложимо)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1"/>
              <w:gridCol w:w="2428"/>
            </w:tblGrid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6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5. Моля, попълнете таблицата на местата, приложими за Вашия проект.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251"/>
              <w:gridCol w:w="2247"/>
              <w:gridCol w:w="372"/>
              <w:gridCol w:w="2294"/>
              <w:gridCol w:w="2487"/>
              <w:gridCol w:w="1086"/>
            </w:tblGrid>
            <w:tr w:rsidR="002E18FC" w:rsidTr="00DD1A74">
              <w:trPr>
                <w:trHeight w:val="226"/>
              </w:trPr>
              <w:tc>
                <w:tcPr>
                  <w:tcW w:w="307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Приоритет</w:t>
                  </w:r>
                </w:p>
              </w:tc>
              <w:tc>
                <w:tcPr>
                  <w:tcW w:w="315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Показател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Стойност/ количество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всички мерки от стратегията, където е приложимо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1А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Общо публични разходи, лв.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Стимулиране на трансфера на знания и иновациите в областта на селското и горското стопанство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1B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Укрепване на връзките между селското стопанство, производството на храни, горското стопанство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ДА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НЕ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участниците в обучения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6270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P3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3B</w:t>
                  </w:r>
                </w:p>
              </w:tc>
              <w:tc>
                <w:tcPr>
                  <w:tcW w:w="273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(за земеделие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177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 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5E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</w:tr>
          </w:tbl>
          <w:p w:rsidR="002E18FC" w:rsidRPr="00DD1A74" w:rsidRDefault="002E18FC" w:rsidP="00DD1A74">
            <w:pPr>
              <w:pStyle w:val="a3"/>
              <w:spacing w:before="0" w:beforeAutospacing="0" w:after="0" w:afterAutospacing="0" w:line="225" w:lineRule="atLeast"/>
              <w:rPr>
                <w:lang w:val="bg-BG"/>
              </w:rPr>
            </w:pP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Подпис на представляващия кандидата: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  <w:jc w:val="both"/>
            </w:pPr>
            <w:r>
              <w:rPr>
                <w:color w:val="000000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997C50" w:rsidRDefault="00997C50"/>
    <w:sectPr w:rsidR="00997C50" w:rsidSect="001623D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744" w:rsidRDefault="00E50744" w:rsidP="002E18FC">
      <w:r>
        <w:separator/>
      </w:r>
    </w:p>
  </w:endnote>
  <w:endnote w:type="continuationSeparator" w:id="0">
    <w:p w:rsidR="00E50744" w:rsidRDefault="00E50744" w:rsidP="002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744" w:rsidRDefault="00E50744" w:rsidP="002E18FC">
      <w:r>
        <w:separator/>
      </w:r>
    </w:p>
  </w:footnote>
  <w:footnote w:type="continuationSeparator" w:id="0">
    <w:p w:rsidR="00E50744" w:rsidRDefault="00E50744" w:rsidP="002E1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FC"/>
    <w:rsid w:val="000D1397"/>
    <w:rsid w:val="000F3FCA"/>
    <w:rsid w:val="001623DB"/>
    <w:rsid w:val="001A578E"/>
    <w:rsid w:val="002E18FC"/>
    <w:rsid w:val="005D3017"/>
    <w:rsid w:val="00684AC5"/>
    <w:rsid w:val="007B0E20"/>
    <w:rsid w:val="00865486"/>
    <w:rsid w:val="008D5D11"/>
    <w:rsid w:val="00985674"/>
    <w:rsid w:val="00997C50"/>
    <w:rsid w:val="00BE113B"/>
    <w:rsid w:val="00C24AC2"/>
    <w:rsid w:val="00C356DF"/>
    <w:rsid w:val="00CB79DF"/>
    <w:rsid w:val="00E023B5"/>
    <w:rsid w:val="00E5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2E18FC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Нормален (уеб) Знак"/>
    <w:aliases w:val="Normal (Web) Char Знак"/>
    <w:link w:val="a3"/>
    <w:rsid w:val="002E18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2E18F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E18FC"/>
    <w:rPr>
      <w:rFonts w:ascii="Tahoma" w:eastAsia="Times New Roman" w:hAnsi="Tahoma" w:cs="Tahoma"/>
      <w:sz w:val="16"/>
      <w:szCs w:val="16"/>
      <w:lang w:eastAsia="bg-BG"/>
    </w:rPr>
  </w:style>
  <w:style w:type="paragraph" w:styleId="ab">
    <w:name w:val="List Paragraph"/>
    <w:basedOn w:val="a"/>
    <w:uiPriority w:val="34"/>
    <w:qFormat/>
    <w:rsid w:val="002E18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2E18FC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Нормален (уеб) Знак"/>
    <w:aliases w:val="Normal (Web) Char Знак"/>
    <w:link w:val="a3"/>
    <w:rsid w:val="002E18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2E18F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E18FC"/>
    <w:rPr>
      <w:rFonts w:ascii="Tahoma" w:eastAsia="Times New Roman" w:hAnsi="Tahoma" w:cs="Tahoma"/>
      <w:sz w:val="16"/>
      <w:szCs w:val="16"/>
      <w:lang w:eastAsia="bg-BG"/>
    </w:rPr>
  </w:style>
  <w:style w:type="paragraph" w:styleId="ab">
    <w:name w:val="List Paragraph"/>
    <w:basedOn w:val="a"/>
    <w:uiPriority w:val="34"/>
    <w:qFormat/>
    <w:rsid w:val="002E1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Gieva</dc:creator>
  <cp:lastModifiedBy>PH</cp:lastModifiedBy>
  <cp:revision>10</cp:revision>
  <dcterms:created xsi:type="dcterms:W3CDTF">2018-04-19T13:15:00Z</dcterms:created>
  <dcterms:modified xsi:type="dcterms:W3CDTF">2021-12-13T20:42:00Z</dcterms:modified>
</cp:coreProperties>
</file>